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56F1" w14:textId="77777777" w:rsidR="00DC5E85" w:rsidRDefault="00DC5E85" w:rsidP="00E825EF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0CDBFD76" w14:textId="783C6AA1" w:rsidR="00DC5E85" w:rsidRDefault="00DC5E85" w:rsidP="00DC5E85">
      <w:pPr>
        <w:spacing w:after="120"/>
        <w:jc w:val="center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  <w:r w:rsidRPr="00E9520F"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>Code of Conduct</w:t>
      </w:r>
      <w:r w:rsidR="00832FAA"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 xml:space="preserve"> Template</w:t>
      </w:r>
    </w:p>
    <w:p w14:paraId="6E975A2D" w14:textId="77777777" w:rsidR="00DC5E85" w:rsidRPr="00DC5E85" w:rsidRDefault="00DC5E85" w:rsidP="00DC5E85">
      <w:pPr>
        <w:spacing w:after="120"/>
        <w:jc w:val="center"/>
        <w:rPr>
          <w:rFonts w:ascii="IBM Plex Sans Text" w:hAnsi="IBM Plex Sans Text" w:cs="Calibri"/>
          <w:b/>
          <w:bCs/>
          <w:color w:val="30206B"/>
          <w:sz w:val="40"/>
          <w:szCs w:val="40"/>
          <w:lang w:val="en-US"/>
        </w:rPr>
      </w:pPr>
      <w:r w:rsidRPr="00DC5E85">
        <w:rPr>
          <w:rFonts w:ascii="IBM Plex Sans Text" w:hAnsi="IBM Plex Sans Text" w:cs="Calibri"/>
          <w:b/>
          <w:bCs/>
          <w:color w:val="30206B"/>
          <w:sz w:val="40"/>
          <w:szCs w:val="40"/>
          <w:lang w:val="en-US"/>
        </w:rPr>
        <w:t>[Organization Name]</w:t>
      </w:r>
    </w:p>
    <w:p w14:paraId="38CC2F77" w14:textId="77777777" w:rsidR="00DC5E85" w:rsidRDefault="00DC5E85" w:rsidP="00E825EF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A360997" w14:textId="77777777" w:rsidR="00DC5E85" w:rsidRDefault="00DC5E85" w:rsidP="00E825EF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7D04B453" w14:textId="0252FDAD" w:rsidR="007B5282" w:rsidRDefault="00DC5E85" w:rsidP="00E825EF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T</w:t>
      </w:r>
      <w:r w:rsidR="009F79CF"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his Workplace Code of Conduct (“Code”) establishes the principles and expectations for professional conduct and ethical behavior for all employees of [Company Name]. By adhering to this Code, we foster a positive, inclusive, and respectful work environment that aligns with our core values and organizational objectives.</w:t>
      </w:r>
    </w:p>
    <w:p w14:paraId="49587A4A" w14:textId="77777777" w:rsidR="00E9520F" w:rsidRPr="00CB7BFE" w:rsidRDefault="00E9520F" w:rsidP="00E825EF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5D579839" w14:textId="51A7AE00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 w:rsidRPr="00077885">
        <w:rPr>
          <w:rFonts w:ascii="IBM Plex Sans Text" w:hAnsi="IBM Plex Sans Text"/>
          <w:sz w:val="28"/>
          <w:szCs w:val="28"/>
        </w:rPr>
        <w:t>1. Scope and applicability</w:t>
      </w:r>
    </w:p>
    <w:p w14:paraId="3ABB3CAD" w14:textId="77777777" w:rsidR="009F79CF" w:rsidRDefault="009F79CF" w:rsidP="009F79C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This Code applies to all employees of [Company Name], regardless of their position or location.</w:t>
      </w:r>
    </w:p>
    <w:p w14:paraId="5D1CC8C2" w14:textId="2F63DF7D" w:rsidR="007B5282" w:rsidRPr="009F79CF" w:rsidRDefault="009F79CF" w:rsidP="009F79C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Contractors and temporary staff are also expected to adhere to this Code while working for or on behalf of the company.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143F1958" w14:textId="6543D4FB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 w:rsidRPr="00077885">
        <w:rPr>
          <w:rFonts w:ascii="IBM Plex Sans Text" w:hAnsi="IBM Plex Sans Text"/>
          <w:sz w:val="28"/>
          <w:szCs w:val="28"/>
        </w:rPr>
        <w:t xml:space="preserve">2. Core values and principles </w:t>
      </w:r>
    </w:p>
    <w:p w14:paraId="53DB7389" w14:textId="323CA7CA" w:rsidR="009F79CF" w:rsidRPr="009F79CF" w:rsidRDefault="009F79CF" w:rsidP="009F79C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[List the company’s core values and principles, such as integrity, excellence, innovation, teamwork, and customer focus.]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40B4CE98" w14:textId="3475BB27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 w:rsidRPr="00077885">
        <w:rPr>
          <w:rFonts w:ascii="IBM Plex Sans Text" w:hAnsi="IBM Plex Sans Text"/>
          <w:sz w:val="28"/>
          <w:szCs w:val="28"/>
        </w:rPr>
        <w:t>3. Professionalism</w:t>
      </w:r>
    </w:p>
    <w:p w14:paraId="2B088C5C" w14:textId="6D4D1FCC" w:rsidR="007B5282" w:rsidRPr="00077885" w:rsidRDefault="009F79CF" w:rsidP="009F79CF">
      <w:pPr>
        <w:pStyle w:val="NormalWeb"/>
        <w:rPr>
          <w:rFonts w:ascii="IBM Plex Sans Text" w:hAnsi="IBM Plex Sans Text" w:cs="Calibri"/>
          <w:b/>
          <w:bCs/>
          <w:color w:val="392870"/>
          <w:sz w:val="22"/>
          <w:szCs w:val="22"/>
          <w:lang w:val="en-US"/>
        </w:rPr>
      </w:pPr>
      <w:r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Employees are expected to conduct themselves in a professional manner at all times.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 xml:space="preserve"> </w:t>
      </w:r>
      <w:r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This includes punctuality, reliability, and commitment to delivering high-quality work.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6F07C5EA" w14:textId="0F5453E4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 w:rsidRPr="00077885">
        <w:rPr>
          <w:rFonts w:ascii="IBM Plex Sans Text" w:hAnsi="IBM Plex Sans Text"/>
          <w:sz w:val="28"/>
          <w:szCs w:val="28"/>
        </w:rPr>
        <w:t>4. Respect and inclusion</w:t>
      </w:r>
    </w:p>
    <w:p w14:paraId="374BE258" w14:textId="26CC10AC" w:rsidR="009F79CF" w:rsidRPr="009F79CF" w:rsidRDefault="009F79CF" w:rsidP="009F79C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We value diversity and are committed to fostering an inclusive environment where all employees feel valued and respected.</w:t>
      </w:r>
    </w:p>
    <w:p w14:paraId="72AC5A2B" w14:textId="5BFDB70A" w:rsidR="007B5282" w:rsidRPr="00CB7BFE" w:rsidRDefault="009F79CF" w:rsidP="00E825E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Harassment, discrimination, or any form of bullying will not be tolerated.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5042FF29" w14:textId="5F713DE9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t>5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>
        <w:rPr>
          <w:rFonts w:ascii="IBM Plex Sans Text" w:hAnsi="IBM Plex Sans Text"/>
          <w:sz w:val="28"/>
          <w:szCs w:val="28"/>
        </w:rPr>
        <w:t>Integrity and ethics</w:t>
      </w:r>
    </w:p>
    <w:p w14:paraId="463C0825" w14:textId="0970434E" w:rsidR="009F79CF" w:rsidRPr="009F79CF" w:rsidRDefault="009F79CF" w:rsidP="009F79C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Employees must act with integrity and uphold the highest ethical standards in all professional interactions.</w:t>
      </w:r>
    </w:p>
    <w:p w14:paraId="460157C4" w14:textId="535C62D7" w:rsidR="00077885" w:rsidRDefault="009F79CF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9F79C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This includes avoiding conflicts of interest and acting in the best interests of the company.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7BDA1611" w14:textId="77777777" w:rsidR="00FC61FA" w:rsidRDefault="00FC61FA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7209B083" w14:textId="77777777" w:rsidR="00FC61FA" w:rsidRDefault="00FC61FA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25C03925" w14:textId="77777777" w:rsidR="007E180D" w:rsidRPr="00077885" w:rsidRDefault="007E180D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5CB64C2" w14:textId="3B5A1D7F" w:rsidR="00FC61FA" w:rsidRPr="00FC61FA" w:rsidRDefault="00077885" w:rsidP="00FC61FA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lastRenderedPageBreak/>
        <w:t>6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>
        <w:rPr>
          <w:rFonts w:ascii="IBM Plex Sans Text" w:hAnsi="IBM Plex Sans Text"/>
          <w:sz w:val="28"/>
          <w:szCs w:val="28"/>
        </w:rPr>
        <w:t>Dress code</w:t>
      </w:r>
    </w:p>
    <w:p w14:paraId="5448739A" w14:textId="46E54735" w:rsidR="007B5282" w:rsidRPr="00CB7BFE" w:rsidRDefault="00E9520F" w:rsidP="00E952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E9520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Employees are expected to dress in a manner that is appropriate for their role and the work environment.</w:t>
      </w:r>
      <w:r w:rsidR="00077885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2AFEC824" w14:textId="2ADE407D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t>7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>
        <w:rPr>
          <w:rFonts w:ascii="IBM Plex Sans Text" w:hAnsi="IBM Plex Sans Text"/>
          <w:sz w:val="28"/>
          <w:szCs w:val="28"/>
        </w:rPr>
        <w:t>Technology and social media usage</w:t>
      </w:r>
    </w:p>
    <w:p w14:paraId="1227DF45" w14:textId="612E3181" w:rsidR="0046329A" w:rsidRPr="0046329A" w:rsidRDefault="0046329A" w:rsidP="0046329A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Company technology and social media should be used responsibly and in accordance with company policies.</w:t>
      </w:r>
    </w:p>
    <w:p w14:paraId="1F3A39D1" w14:textId="0145867F" w:rsidR="00077885" w:rsidRPr="00077885" w:rsidRDefault="0046329A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Confidential information must not be shared online or through social media platforms.</w:t>
      </w:r>
      <w:r w:rsidR="00077885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76A125F6" w14:textId="75A67824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t>8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>
        <w:rPr>
          <w:rFonts w:ascii="IBM Plex Sans Text" w:hAnsi="IBM Plex Sans Text"/>
          <w:sz w:val="28"/>
          <w:szCs w:val="28"/>
        </w:rPr>
        <w:t>Health and safety</w:t>
      </w:r>
    </w:p>
    <w:p w14:paraId="4460C663" w14:textId="54E48B6D" w:rsidR="00E9520F" w:rsidRPr="0046329A" w:rsidRDefault="00E9520F" w:rsidP="00E952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Employees must comply with all health and safety regulations and report any hazards or unsafe conditions.</w:t>
      </w:r>
    </w:p>
    <w:p w14:paraId="34A42682" w14:textId="34083F9D" w:rsidR="00DF2BF6" w:rsidRPr="00DF2BF6" w:rsidRDefault="00E9520F" w:rsidP="00DF2BF6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A commitment to maintaining a safe and healthy work environment is the responsibility of every employee.</w:t>
      </w:r>
      <w:r w:rsidR="00077885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3FFEFFB2" w14:textId="3B7D34BD" w:rsidR="00DF2BF6" w:rsidRPr="00DF2BF6" w:rsidRDefault="00DF2BF6" w:rsidP="00DF2BF6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t>9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>
        <w:rPr>
          <w:rFonts w:ascii="IBM Plex Sans Text" w:hAnsi="IBM Plex Sans Text"/>
          <w:sz w:val="28"/>
          <w:szCs w:val="28"/>
        </w:rPr>
        <w:t>Conflict resolution</w:t>
      </w:r>
    </w:p>
    <w:p w14:paraId="32682103" w14:textId="77777777" w:rsidR="00E9520F" w:rsidRPr="0046329A" w:rsidRDefault="00E9520F" w:rsidP="00E952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Any workplace conflicts should be resolved in a professional and respectful manner.</w:t>
      </w:r>
    </w:p>
    <w:p w14:paraId="2D5D5EC4" w14:textId="45A2ABE4" w:rsidR="007B5282" w:rsidRPr="0046329A" w:rsidRDefault="00E9520F" w:rsidP="00E825E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Employees are encouraged to seek the assistance of their supervisor or HR if needed.</w:t>
      </w:r>
      <w:r w:rsidR="00077885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06DBA9D7" w14:textId="6B8236D2" w:rsidR="00DF2BF6" w:rsidRPr="00DF2BF6" w:rsidRDefault="00DF2BF6" w:rsidP="00DF2BF6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t>10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>
        <w:rPr>
          <w:rFonts w:ascii="IBM Plex Sans Text" w:hAnsi="IBM Plex Sans Text"/>
          <w:sz w:val="28"/>
          <w:szCs w:val="28"/>
        </w:rPr>
        <w:t>Reporting mechanisms</w:t>
      </w:r>
    </w:p>
    <w:p w14:paraId="14D2F5D0" w14:textId="77777777" w:rsidR="00E9520F" w:rsidRDefault="00E9520F" w:rsidP="00E952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E9520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Employees are encouraged to report any unethical behavior or violations of this Code.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 xml:space="preserve"> </w:t>
      </w:r>
    </w:p>
    <w:p w14:paraId="6B67FED6" w14:textId="29BB6308" w:rsidR="00E9520F" w:rsidRDefault="00E9520F" w:rsidP="00E9520F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E9520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[Company Name] is committed to protecting the anonymity and safety of those who report misconduct.</w:t>
      </w:r>
    </w:p>
    <w:p w14:paraId="19306DC6" w14:textId="77777777" w:rsidR="00077885" w:rsidRDefault="00E9520F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 w:rsidRPr="00E9520F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t>By adhering to this Code, employees contribute to the success and reputation of [Company Name]. Failure to comply with this Code may result in disciplinary action, up to and including termination of employment.</w:t>
      </w:r>
    </w:p>
    <w:p w14:paraId="2149DABA" w14:textId="77777777" w:rsid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3FD2EC0E" w14:textId="1BCC70E4" w:rsid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4C369065" w14:textId="30B62211" w:rsid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7C482FF2" w14:textId="77777777" w:rsidR="00FC61FA" w:rsidRDefault="00FC61FA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44E4EB4" w14:textId="21404FA8" w:rsidR="00077885" w:rsidRDefault="00FC61FA" w:rsidP="00077885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/>
      </w:r>
    </w:p>
    <w:p w14:paraId="6AB04557" w14:textId="46AB13DD" w:rsidR="005115A4" w:rsidRDefault="005115A4" w:rsidP="00077885">
      <w:pPr>
        <w:pStyle w:val="NormalWeb"/>
      </w:pPr>
    </w:p>
    <w:p w14:paraId="16595768" w14:textId="77777777" w:rsidR="00077885" w:rsidRDefault="00077885" w:rsidP="00077885">
      <w:pPr>
        <w:pStyle w:val="NormalWeb"/>
      </w:pPr>
    </w:p>
    <w:p w14:paraId="142B8BC7" w14:textId="77777777" w:rsidR="00077885" w:rsidRDefault="00077885" w:rsidP="00077885">
      <w:pPr>
        <w:pStyle w:val="NormalWeb"/>
      </w:pPr>
    </w:p>
    <w:p w14:paraId="7B2C7F98" w14:textId="77777777" w:rsidR="00077885" w:rsidRP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3BFC6CCC" w14:textId="2B86EBD7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72126614" w:rsidR="00514C00" w:rsidRPr="00952B30" w:rsidRDefault="007E180D">
      <w:pPr>
        <w:rPr>
          <w:rFonts w:ascii="IBM Plex Sans Text" w:hAnsi="IBM Plex Sans Text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3F337EF" wp14:editId="0A05F2CD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C00" w:rsidRPr="00952B30" w:rsidSect="00DC5E85">
      <w:headerReference w:type="default" r:id="rId10"/>
      <w:pgSz w:w="11906" w:h="16838"/>
      <w:pgMar w:top="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B3D4" w14:textId="77777777" w:rsidR="004D3161" w:rsidRDefault="004D3161" w:rsidP="00A0706E">
      <w:r>
        <w:separator/>
      </w:r>
    </w:p>
  </w:endnote>
  <w:endnote w:type="continuationSeparator" w:id="0">
    <w:p w14:paraId="1AA79519" w14:textId="77777777" w:rsidR="004D3161" w:rsidRDefault="004D3161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24E2" w14:textId="77777777" w:rsidR="004D3161" w:rsidRDefault="004D3161" w:rsidP="00A0706E">
      <w:r>
        <w:separator/>
      </w:r>
    </w:p>
  </w:footnote>
  <w:footnote w:type="continuationSeparator" w:id="0">
    <w:p w14:paraId="73371CFB" w14:textId="77777777" w:rsidR="004D3161" w:rsidRDefault="004D3161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75C2" w14:textId="77777777" w:rsidR="00A0706E" w:rsidRDefault="00A0706E">
    <w:pPr>
      <w:pStyle w:val="Header"/>
    </w:pPr>
  </w:p>
  <w:p w14:paraId="51919A5B" w14:textId="77777777" w:rsidR="00DC5E85" w:rsidRDefault="00DC5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77C"/>
    <w:multiLevelType w:val="hybridMultilevel"/>
    <w:tmpl w:val="FC447510"/>
    <w:lvl w:ilvl="0" w:tplc="D1D8F0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D5874"/>
    <w:multiLevelType w:val="hybridMultilevel"/>
    <w:tmpl w:val="37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58CE"/>
    <w:multiLevelType w:val="hybridMultilevel"/>
    <w:tmpl w:val="167AC2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3"/>
  </w:num>
  <w:num w:numId="4" w16cid:durableId="60175185">
    <w:abstractNumId w:val="6"/>
  </w:num>
  <w:num w:numId="5" w16cid:durableId="955060567">
    <w:abstractNumId w:val="2"/>
  </w:num>
  <w:num w:numId="6" w16cid:durableId="744836841">
    <w:abstractNumId w:val="5"/>
  </w:num>
  <w:num w:numId="7" w16cid:durableId="16235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77885"/>
    <w:rsid w:val="000D2329"/>
    <w:rsid w:val="000D418F"/>
    <w:rsid w:val="00160697"/>
    <w:rsid w:val="00170ACB"/>
    <w:rsid w:val="001F6A2C"/>
    <w:rsid w:val="0026481D"/>
    <w:rsid w:val="00283907"/>
    <w:rsid w:val="0034319B"/>
    <w:rsid w:val="00365D94"/>
    <w:rsid w:val="003817CE"/>
    <w:rsid w:val="003F1741"/>
    <w:rsid w:val="00444117"/>
    <w:rsid w:val="0046329A"/>
    <w:rsid w:val="004D3161"/>
    <w:rsid w:val="004D7FD3"/>
    <w:rsid w:val="005115A4"/>
    <w:rsid w:val="00514C00"/>
    <w:rsid w:val="00520CE4"/>
    <w:rsid w:val="00526478"/>
    <w:rsid w:val="00540FC6"/>
    <w:rsid w:val="00554920"/>
    <w:rsid w:val="00570E86"/>
    <w:rsid w:val="005C79DF"/>
    <w:rsid w:val="00671709"/>
    <w:rsid w:val="00693549"/>
    <w:rsid w:val="007071EF"/>
    <w:rsid w:val="00734BF4"/>
    <w:rsid w:val="00736A97"/>
    <w:rsid w:val="007A37C7"/>
    <w:rsid w:val="007B5282"/>
    <w:rsid w:val="007E180D"/>
    <w:rsid w:val="007F50A7"/>
    <w:rsid w:val="00832FAA"/>
    <w:rsid w:val="00835AEF"/>
    <w:rsid w:val="008A2995"/>
    <w:rsid w:val="008D4DBD"/>
    <w:rsid w:val="009524A2"/>
    <w:rsid w:val="00952B30"/>
    <w:rsid w:val="009F79CF"/>
    <w:rsid w:val="00A0706E"/>
    <w:rsid w:val="00A21071"/>
    <w:rsid w:val="00AC1CD0"/>
    <w:rsid w:val="00B42278"/>
    <w:rsid w:val="00B50451"/>
    <w:rsid w:val="00C35D5B"/>
    <w:rsid w:val="00C81166"/>
    <w:rsid w:val="00CB7BFE"/>
    <w:rsid w:val="00D05075"/>
    <w:rsid w:val="00D10822"/>
    <w:rsid w:val="00D45F17"/>
    <w:rsid w:val="00D57945"/>
    <w:rsid w:val="00D84DDE"/>
    <w:rsid w:val="00DC5E85"/>
    <w:rsid w:val="00DF2BF6"/>
    <w:rsid w:val="00E03A4A"/>
    <w:rsid w:val="00E14172"/>
    <w:rsid w:val="00E825EF"/>
    <w:rsid w:val="00E9520F"/>
    <w:rsid w:val="00EB1AB4"/>
    <w:rsid w:val="00ED0D59"/>
    <w:rsid w:val="00FB0640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885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77885"/>
    <w:rPr>
      <w:rFonts w:eastAsiaTheme="minorEastAsia"/>
      <w:b/>
      <w:color w:val="30206B"/>
      <w:sz w:val="20"/>
      <w:szCs w:val="22"/>
      <w:shd w:val="clear" w:color="auto" w:fill="EDEDED" w:themeFill="accent3" w:themeFillTint="33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 Senatore</cp:lastModifiedBy>
  <cp:revision>6</cp:revision>
  <cp:lastPrinted>2023-04-12T12:39:00Z</cp:lastPrinted>
  <dcterms:created xsi:type="dcterms:W3CDTF">2023-10-31T10:12:00Z</dcterms:created>
  <dcterms:modified xsi:type="dcterms:W3CDTF">2023-11-03T13:00:00Z</dcterms:modified>
</cp:coreProperties>
</file>